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W w:w="8529" w:type="dxa"/>
        <w:jc w:val="center"/>
        <w:tblLayout w:type="fixed"/>
        <w:tblLook w:val="0000" w:firstRow="0" w:lastRow="0" w:firstColumn="0" w:lastColumn="0" w:noHBand="0" w:noVBand="0"/>
      </w:tblPr>
      <w:tblGrid>
        <w:gridCol w:w="7038"/>
        <w:gridCol w:w="1491"/>
      </w:tblGrid>
      <w:tr>
        <w:trPr>
          <w:jc w:val="center"/>
        </w:trPr>
        <w:tc>
          <w:tcPr>
            <w:tcW w:w="7038" w:type="dxa"/>
          </w:tcPr>
          <w:p>
            <w:pPr>
              <w:ind w:left="1040" w:hanging="1040"/>
              <w:jc w:val="distribute"/>
              <w:rPr>
                <w:rFonts w:ascii="方正美黑简体" w:eastAsia="方正美黑简体"/>
                <w:color w:val="FF0000"/>
                <w:sz w:val="66"/>
                <w:szCs w:val="66"/>
              </w:rPr>
            </w:pPr>
            <w:r>
              <w:rPr>
                <w:rFonts w:ascii="方正美黑简体" w:eastAsia="方正美黑简体" w:hint="eastAsia"/>
                <w:color w:val="FF0000"/>
                <w:w w:val="66"/>
                <w:sz w:val="66"/>
                <w:szCs w:val="66"/>
              </w:rPr>
              <w:t>嘉兴市乡村振兴领导小组办公室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ind w:left="1103" w:hanging="1103"/>
              <w:jc w:val="center"/>
              <w:rPr>
                <w:rFonts w:ascii="方正美黑简体" w:eastAsia="方正美黑简体"/>
                <w:color w:val="FF0000"/>
                <w:w w:val="66"/>
                <w:sz w:val="96"/>
                <w:szCs w:val="96"/>
              </w:rPr>
            </w:pPr>
            <w:r>
              <w:rPr>
                <w:rFonts w:ascii="方正美黑简体" w:eastAsia="方正美黑简体" w:hint="eastAsia"/>
                <w:color w:val="FF0000"/>
                <w:w w:val="66"/>
                <w:sz w:val="96"/>
                <w:szCs w:val="96"/>
              </w:rPr>
              <w:t>文件</w:t>
            </w:r>
          </w:p>
        </w:tc>
      </w:tr>
      <w:tr>
        <w:trPr>
          <w:jc w:val="center"/>
        </w:trPr>
        <w:tc>
          <w:tcPr>
            <w:tcW w:w="7038" w:type="dxa"/>
          </w:tcPr>
          <w:p>
            <w:pPr>
              <w:ind w:left="1040" w:hanging="1040"/>
              <w:jc w:val="distribute"/>
              <w:rPr>
                <w:rFonts w:ascii="方正美黑简体" w:eastAsia="方正美黑简体"/>
                <w:color w:val="FF0000"/>
                <w:sz w:val="66"/>
                <w:szCs w:val="66"/>
              </w:rPr>
            </w:pPr>
            <w:r>
              <w:rPr>
                <w:rFonts w:ascii="方正美黑简体" w:eastAsia="方正美黑简体" w:hint="eastAsia"/>
                <w:color w:val="FF0000"/>
                <w:sz w:val="66"/>
                <w:szCs w:val="66"/>
              </w:rPr>
              <w:t>共青团嘉兴市委员会</w:t>
            </w:r>
          </w:p>
        </w:tc>
        <w:tc>
          <w:tcPr>
            <w:tcW w:w="1491" w:type="dxa"/>
            <w:vMerge/>
          </w:tcPr>
          <w:p>
            <w:pPr>
              <w:rPr>
                <w:rFonts w:ascii="方正美黑简体" w:eastAsia="方正美黑简体"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468"/>
        <w:tblW w:w="0" w:type="auto"/>
        <w:tblLayout w:type="fixed"/>
        <w:tblLook w:val="0000" w:firstRow="0" w:lastRow="0" w:firstColumn="0" w:lastColumn="0" w:noHBand="0" w:noVBand="0"/>
      </w:tblPr>
      <w:tblGrid>
        <w:gridCol w:w="8738"/>
      </w:tblGrid>
      <w:tr>
        <w:trPr>
          <w:trHeight w:val="1140"/>
        </w:trPr>
        <w:tc>
          <w:tcPr>
            <w:tcW w:w="8738" w:type="dxa"/>
          </w:tcPr>
          <w:p>
            <w:pPr>
              <w:snapToGrid w:val="0"/>
              <w:spacing w:line="320" w:lineRule="atLeast"/>
              <w:jc w:val="center"/>
              <w:rPr>
                <w:rFonts w:ascii="仿宋_GB2312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团嘉联〔</w:t>
            </w:r>
            <w:r>
              <w:rPr>
                <w:rFonts w:ascii="仿宋_GB2312" w:eastAsia="仿宋_GB2312"/>
                <w:sz w:val="36"/>
                <w:szCs w:val="36"/>
              </w:rPr>
              <w:t>20</w:t>
            </w:r>
            <w:r>
              <w:rPr>
                <w:rFonts w:ascii="仿宋_GB2312" w:eastAsia="仿宋_GB2312" w:hint="eastAsia"/>
                <w:sz w:val="36"/>
                <w:szCs w:val="36"/>
              </w:rPr>
              <w:t>18〕19号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/>
                <w:color w:val="FF0000"/>
                <w:sz w:val="48"/>
                <w:szCs w:val="48"/>
              </w:rPr>
            </w:pPr>
            <w:r>
              <w:rPr>
                <w:rFonts w:ascii="仿宋_GB2312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2860040</wp:posOffset>
                      </wp:positionH>
                      <wp:positionV relativeFrom="page">
                        <wp:posOffset>672465</wp:posOffset>
                      </wp:positionV>
                      <wp:extent cx="2644775" cy="0"/>
                      <wp:effectExtent l="19685" t="19050" r="21590" b="19050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7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5.2pt,52.95pt" to="433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" strokecolor="red" strokeweight="3pt">
                      <w10:wrap anchory="page"/>
                    </v:line>
                  </w:pict>
                </mc:Fallback>
              </mc:AlternateContent>
            </w:r>
            <w:r>
              <w:rPr>
                <w:rFonts w:ascii="仿宋_GB2312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ge">
                        <wp:posOffset>668655</wp:posOffset>
                      </wp:positionV>
                      <wp:extent cx="2640330" cy="0"/>
                      <wp:effectExtent l="19050" t="24765" r="26670" b="2286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03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6pt,52.65pt" to="201.3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" strokecolor="red" strokeweight="3pt">
                      <w10:wrap anchory="page"/>
                    </v:line>
                  </w:pict>
                </mc:Fallback>
              </mc:AlternateContent>
            </w:r>
            <w:r>
              <w:rPr>
                <w:rFonts w:ascii="仿宋_GB2312" w:hint="eastAsia"/>
                <w:color w:val="FF0000"/>
                <w:sz w:val="48"/>
                <w:szCs w:val="48"/>
              </w:rPr>
              <w:t>★</w:t>
            </w:r>
          </w:p>
        </w:tc>
      </w:tr>
    </w:tbl>
    <w:p>
      <w:pPr>
        <w:spacing w:line="560" w:lineRule="exact"/>
        <w:rPr>
          <w:rFonts w:ascii="方正小标宋简体" w:eastAsia="方正小标宋简体" w:hAnsi="楷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嘉兴共青团助力乡村振兴战略</w:t>
      </w:r>
    </w:p>
    <w:p>
      <w:pPr>
        <w:spacing w:line="64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“雨露青禾”主题行动（</w:t>
      </w:r>
      <w:r>
        <w:rPr>
          <w:rFonts w:ascii="方正小标宋简体" w:eastAsia="方正小标宋简体" w:hAnsi="楷体"/>
          <w:sz w:val="44"/>
          <w:szCs w:val="44"/>
        </w:rPr>
        <w:t>2018-</w:t>
      </w:r>
      <w:r>
        <w:rPr>
          <w:rFonts w:ascii="方正小标宋简体" w:eastAsia="方正小标宋简体" w:hAnsi="楷体" w:hint="eastAsia"/>
          <w:sz w:val="44"/>
          <w:szCs w:val="44"/>
        </w:rPr>
        <w:t>2022）</w:t>
      </w:r>
    </w:p>
    <w:p>
      <w:pPr>
        <w:spacing w:line="64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实施意见</w:t>
      </w:r>
    </w:p>
    <w:p>
      <w:pPr>
        <w:spacing w:line="560" w:lineRule="exact"/>
        <w:jc w:val="center"/>
        <w:rPr>
          <w:rFonts w:ascii="楷体_GB2312" w:eastAsia="楷体_GB2312" w:hAnsi="楷体"/>
          <w:sz w:val="32"/>
          <w:szCs w:val="32"/>
        </w:rPr>
      </w:pPr>
    </w:p>
    <w:p>
      <w:pPr>
        <w:spacing w:line="56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各县（市、区）乡村振兴办、团委，市属各单位团组织：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团结带领广大红船青年积极投身乡村振兴战略，培养壮大红船新农人队伍，经研究决定，由市乡村振兴办、团市委联合组织实施嘉兴共青团助力乡村振兴战略“雨露青禾”主题行动（</w:t>
      </w:r>
      <w:r>
        <w:rPr>
          <w:rFonts w:ascii="仿宋_GB2312" w:eastAsia="仿宋_GB2312" w:cs="仿宋_GB2312"/>
          <w:color w:val="000000"/>
          <w:sz w:val="32"/>
          <w:szCs w:val="32"/>
        </w:rPr>
        <w:t>2018-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2022）。具体意见如下：</w:t>
      </w:r>
    </w:p>
    <w:p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高举习近平新时代中国特色社会主义思想伟大旗帜，坚决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贯彻党的十九大和习近平总书记南湖重要讲话精神，认真领会市委市政府《关于坚定不移推进城乡一体化全面打造乡村振兴示范地的意见》（嘉委发〔2018〕11号）和团省委《青春助力乡村振兴战略专项行动》精神，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按照“产业兴旺、生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lastRenderedPageBreak/>
        <w:t>态宜居、乡风文明、治理有效、生活富裕”总要求，以“双十百千”对标创建为引领，深入实施“归燕领航、美颜建功、轻风易俗、厚基聚力、乐苗关爱”五大行动，</w:t>
      </w:r>
      <w:r>
        <w:rPr>
          <w:rFonts w:ascii="仿宋_GB2312" w:eastAsia="仿宋_GB2312" w:hint="eastAsia"/>
          <w:sz w:val="32"/>
          <w:szCs w:val="32"/>
        </w:rPr>
        <w:t>团结带领广大红船青年在推动农业全面升级、农村全面进步、农民全面发展中充分发挥生力军和突击队作用，为嘉禾大地全面打造乡村振兴示范地贡献青春力量。</w:t>
      </w:r>
    </w:p>
    <w:p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二、总体目标</w:t>
      </w:r>
    </w:p>
    <w:p>
      <w:pPr>
        <w:spacing w:line="56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spacing w:val="-2"/>
          <w:sz w:val="32"/>
          <w:szCs w:val="32"/>
        </w:rPr>
        <w:t>到2022年，以</w:t>
      </w:r>
      <w:r>
        <w:rPr>
          <w:rFonts w:ascii="仿宋_GB2312" w:eastAsia="仿宋_GB2312" w:hint="eastAsia"/>
          <w:spacing w:val="-2"/>
          <w:sz w:val="32"/>
          <w:szCs w:val="32"/>
        </w:rPr>
        <w:t>“双十百千”对标创建为引领，即</w:t>
      </w:r>
      <w:r>
        <w:rPr>
          <w:rFonts w:ascii="楷体_GB2312" w:eastAsia="楷体_GB2312" w:hint="eastAsia"/>
          <w:b/>
          <w:bCs/>
          <w:spacing w:val="-2"/>
          <w:sz w:val="32"/>
          <w:szCs w:val="32"/>
        </w:rPr>
        <w:t>打造十条“雨露青禾”精品线路、形成十篇“雨露青禾”调研成果、孵化百个青农创客典型项目、构筑百家青农实践特色平台、办成千项乡村振兴青春实事、培育千名红船新农人</w:t>
      </w:r>
      <w:r>
        <w:rPr>
          <w:rFonts w:ascii="楷体_GB2312" w:eastAsia="楷体_GB2312" w:hint="eastAsia"/>
          <w:spacing w:val="-2"/>
          <w:sz w:val="32"/>
          <w:szCs w:val="32"/>
        </w:rPr>
        <w:t>，</w:t>
      </w:r>
      <w:r>
        <w:rPr>
          <w:rFonts w:ascii="仿宋_GB2312" w:eastAsia="仿宋_GB2312" w:hint="eastAsia"/>
          <w:spacing w:val="-2"/>
          <w:sz w:val="32"/>
          <w:szCs w:val="32"/>
        </w:rPr>
        <w:t>建成共青团高水平助力乡村振兴战略的工作体系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三、重点任务</w:t>
      </w:r>
    </w:p>
    <w:p>
      <w:pPr>
        <w:spacing w:line="560" w:lineRule="exact"/>
        <w:ind w:firstLineChars="150" w:firstLine="482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（一）紧扣“产业兴旺”总要求，深入实施“雨露青禾·归燕领航”行动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</w:t>
      </w:r>
      <w:r>
        <w:rPr>
          <w:rFonts w:ascii="仿宋_GB2312" w:eastAsia="仿宋_GB2312" w:hAnsi="楷体" w:hint="eastAsia"/>
          <w:b/>
          <w:spacing w:val="-2"/>
          <w:sz w:val="32"/>
          <w:szCs w:val="32"/>
        </w:rPr>
        <w:t>.打造一批实践平台。</w:t>
      </w:r>
      <w:r>
        <w:rPr>
          <w:rFonts w:ascii="仿宋_GB2312" w:eastAsia="仿宋_GB2312" w:hAnsi="楷体" w:hint="eastAsia"/>
          <w:spacing w:val="-2"/>
          <w:sz w:val="32"/>
          <w:szCs w:val="32"/>
        </w:rPr>
        <w:t>推进“青创农场”创新建设，大胆借鉴二三产领域相对成熟的众创空间→孵化器→加速器→产业集聚区/经济开发区等成长模式，众筹、自治、开放、共享、远程认养、产业链延伸融合等运营模式，互联网+、物联网+、大数据、标准化、可追溯等智慧质量安全管理模式，主动对接职能部门、企业院校、金融机构、社会组织等资源，积极探索适合吸引“家燕归巢”的新载体、新路径、新样板，加快发展主体法人化、生产科技化、产品品牌化、园区景观化、管理精准化且适度规模经营的现代都市型生态农业。拓</w:t>
      </w:r>
      <w:r>
        <w:rPr>
          <w:rFonts w:ascii="仿宋_GB2312" w:eastAsia="仿宋_GB2312" w:hAnsi="楷体" w:hint="eastAsia"/>
          <w:spacing w:val="-2"/>
          <w:sz w:val="32"/>
          <w:szCs w:val="32"/>
        </w:rPr>
        <w:lastRenderedPageBreak/>
        <w:t>宽“青创空间”地域覆盖，支持书舍、茶室、咖吧、民宿、农庄、花房、琴行、集市、路演厅、格子铺、素食馆、训练营、红氧吧、嘉年华、实体网店、创意工坊、非遗展示、交换空间、素拓基地、无人餐厅、无人超市、乡愁陈列馆等多元形式遍布乡村。到2022年，全市建成“青创农场”40家以上、乡村“青创空间”60家以上，由同级财政对达到创建标准的“青创农场”、乡村“青创空间”给予适当资金支持。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pacing w:val="-2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pacing w:val="-2"/>
          <w:sz w:val="32"/>
          <w:szCs w:val="32"/>
        </w:rPr>
        <w:t>凝聚一批青年骨干</w:t>
      </w:r>
      <w:r>
        <w:rPr>
          <w:rFonts w:ascii="仿宋_GB2312" w:eastAsia="仿宋_GB2312" w:hAnsi="华文中宋" w:hint="eastAsia"/>
          <w:b/>
          <w:bCs/>
          <w:color w:val="000000"/>
          <w:spacing w:val="-2"/>
          <w:sz w:val="32"/>
          <w:szCs w:val="32"/>
        </w:rPr>
        <w:t>。</w:t>
      </w:r>
      <w:r>
        <w:rPr>
          <w:rFonts w:ascii="仿宋_GB2312" w:eastAsia="仿宋_GB2312" w:hAnsi="楷体" w:hint="eastAsia"/>
          <w:spacing w:val="-2"/>
          <w:sz w:val="32"/>
          <w:szCs w:val="32"/>
        </w:rPr>
        <w:t>面向青农创客、新型职业农民、返乡大学生、80后村官、青年新乡贤、农村合作社带头人、农业龙头企业主、涉农青年文明号、挂职大学生等新农人群体，着力加强政治吸纳和组织建设，市级层面成立“红船新农人联盟”，各县（市、区）、镇（街道）因地制宜成立联盟、联谊会、联合发展会、创业私董会、俱乐部等。到2018年底，实现市县（市、区）两级新农人组织全覆盖；到2020年底，实现市县（市、区）镇（街道）三级新农人组织全覆盖；全市每年培育红船新农人不少于400名。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3</w:t>
      </w:r>
      <w:r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pacing w:val="-2"/>
          <w:sz w:val="32"/>
          <w:szCs w:val="32"/>
        </w:rPr>
        <w:t>服务一批青农创客</w:t>
      </w:r>
      <w:r>
        <w:rPr>
          <w:rFonts w:ascii="仿宋_GB2312" w:eastAsia="仿宋_GB2312" w:hAnsi="华文中宋" w:hint="eastAsia"/>
          <w:b/>
          <w:bCs/>
          <w:color w:val="000000"/>
          <w:spacing w:val="-2"/>
          <w:sz w:val="32"/>
          <w:szCs w:val="32"/>
        </w:rPr>
        <w:t>。</w:t>
      </w:r>
      <w:r>
        <w:rPr>
          <w:rFonts w:ascii="仿宋_GB2312" w:eastAsia="仿宋_GB2312" w:hAnsi="楷体" w:hint="eastAsia"/>
          <w:spacing w:val="-2"/>
          <w:sz w:val="32"/>
          <w:szCs w:val="32"/>
        </w:rPr>
        <w:t>深化银团合作，推动“青创贷”“青创宝”“青轻贷”等青创金融产品提质扩面，稳步提高信用贷款占比，加大同级财政对青创贷款项目的贴息扶持，探索供给保险类金融产品。到2020年，全市青创小额贷款授信达15亿元、实际发放达12亿元、信用贷款达3亿元；到2022年，全市青创小额贷款授信达20亿元、实际发放达16亿元、信用贷款达5亿元。强化技术服务，瞄准农创项目的品类创新力、核心竞争力和可持续发展力，组建以农经专家、</w:t>
      </w:r>
      <w:r>
        <w:rPr>
          <w:rFonts w:ascii="仿宋_GB2312" w:eastAsia="仿宋_GB2312" w:hAnsi="楷体" w:hint="eastAsia"/>
          <w:spacing w:val="-2"/>
          <w:sz w:val="32"/>
          <w:szCs w:val="32"/>
        </w:rPr>
        <w:lastRenderedPageBreak/>
        <w:t>专技教师、涉农专业学生、农技推广员等为主体的技术服务团，加速农业机器换人、农机农艺融合和农产品品牌建设（无公害、绿色、有机、地理标志），到2018年底，实现技术服务团镇级全覆盖。优化联动载体，举办各类政策咨询、培训考察、讲座论坛、路演赛事等，建立导师帮扶机制，搭建更多同行切磋和自我展示的舞台。全市每年举办青农培训不少于20场、青农赛事不少于8场；围绕融资、技术、联谊等主题，开展各类青农创活动不少于40场；聘请青农创业导师不少于40名；孵化农林渔牧、文旅健康、特色小镇、工艺传承等青农创客典型项目不少于40个。</w:t>
      </w:r>
    </w:p>
    <w:p>
      <w:pPr>
        <w:spacing w:line="560" w:lineRule="exact"/>
        <w:ind w:firstLineChars="150" w:firstLine="482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（二）紧扣“生态宜居”总要求，深入实施“雨露青禾·美颜建功”行动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4</w:t>
      </w:r>
      <w:r>
        <w:rPr>
          <w:rFonts w:ascii="仿宋_GB2312" w:eastAsia="仿宋_GB2312" w:hAnsi="楷体" w:hint="eastAsia"/>
          <w:b/>
          <w:sz w:val="32"/>
          <w:szCs w:val="32"/>
        </w:rPr>
        <w:t>.巩固青春治水成果。</w:t>
      </w:r>
      <w:r>
        <w:rPr>
          <w:rFonts w:ascii="仿宋_GB2312" w:eastAsia="仿宋_GB2312" w:hAnsi="楷体" w:hint="eastAsia"/>
          <w:sz w:val="32"/>
          <w:szCs w:val="32"/>
        </w:rPr>
        <w:t>广泛动员青年志愿者、青年突击队继续投身青春治水系列行动，全市组建各类“河小二”志愿服务队不少于500支，每年开展河道打捞、沿岸保洁、水质监测、以鱼洁水等“河小二”志愿服务活动不少于5</w:t>
      </w:r>
      <w:r>
        <w:rPr>
          <w:rFonts w:ascii="仿宋_GB2312" w:eastAsia="仿宋_GB2312" w:hAnsi="楷体"/>
          <w:sz w:val="32"/>
          <w:szCs w:val="32"/>
        </w:rPr>
        <w:t>00</w:t>
      </w:r>
      <w:r>
        <w:rPr>
          <w:rFonts w:ascii="仿宋_GB2312" w:eastAsia="仿宋_GB2312" w:hAnsi="楷体" w:hint="eastAsia"/>
          <w:sz w:val="32"/>
          <w:szCs w:val="32"/>
        </w:rPr>
        <w:t>场。持续开展“共青示范河”创建工作，2019年启动新一轮百条市级“共青示范河”创建活动。不断巩固“共青示范河”创建成果，定期组织“共青示范河”回头看督查，到2018年、2020年、2022年底，分别实现20%、40%、60%“共青示范河”水质达到Ⅲ类及以上，绘就全域大美乡村的清澈底色。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sz w:val="32"/>
          <w:szCs w:val="32"/>
        </w:rPr>
        <w:t>.助力美丽乡村创建。</w:t>
      </w:r>
      <w:r>
        <w:rPr>
          <w:rFonts w:ascii="仿宋_GB2312" w:eastAsia="仿宋_GB2312" w:hAnsi="楷体" w:hint="eastAsia"/>
          <w:sz w:val="32"/>
          <w:szCs w:val="32"/>
        </w:rPr>
        <w:t>投身农旅融合，举办乡村文旅青年设计大赛，引导各级青联委员、青企协会员踊跃参与乡村历史文脉挖掘和农旅线路开发，整合红色</w:t>
      </w:r>
      <w:r>
        <w:rPr>
          <w:rFonts w:ascii="仿宋_GB2312" w:eastAsia="仿宋_GB2312" w:hAnsi="楷体"/>
          <w:sz w:val="32"/>
          <w:szCs w:val="32"/>
        </w:rPr>
        <w:t>+</w:t>
      </w:r>
      <w:r>
        <w:rPr>
          <w:rFonts w:ascii="仿宋_GB2312" w:eastAsia="仿宋_GB2312" w:hAnsi="楷体" w:hint="eastAsia"/>
          <w:sz w:val="32"/>
          <w:szCs w:val="32"/>
        </w:rPr>
        <w:t>、网络+、创意</w:t>
      </w:r>
      <w:r>
        <w:rPr>
          <w:rFonts w:ascii="仿宋_GB2312" w:eastAsia="仿宋_GB2312" w:hAnsi="楷体"/>
          <w:sz w:val="32"/>
          <w:szCs w:val="32"/>
        </w:rPr>
        <w:t>+</w:t>
      </w:r>
      <w:r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亲子+、悦读+等元素，打造兼具团味、趣味、乡味、美味、回味的“五味”项目，促进美丽经济新发展。弘扬志愿精神，依托团干部、大中小学生、青农创客、青年社会组织等活跃因子，组建美丽乡村故事讲解员、风貌规划员、建筑/园艺/绘画设计员、形象推广员等志愿服务队伍。注重以点带面，各县（市、区）每年高标准打造一条严格遵循美丽乡村“十有十无”建设标准</w:t>
      </w:r>
      <w:r>
        <w:rPr>
          <w:rFonts w:ascii="仿宋_GB2312" w:eastAsia="仿宋_GB2312" w:hAnsi="楷体" w:hint="eastAsia"/>
          <w:sz w:val="24"/>
          <w:szCs w:val="24"/>
        </w:rPr>
        <w:t>【村有2名以上专职保洁人员；村有垃圾车和清扫工具、组有垃圾桶（池）；乡镇有垃圾分类填埋场；乡镇有垃圾收集车辆；村有保洁工作制度；乡镇有专项环卫经费；有村民环卫公约；村有环卫监督员；道路、村庄有绿化；村有便民服务中心/无裸露墙体；无“牛皮癣”小广告和过街跨路横标；无水面漂浮垃圾物；无简易厕所、猪圈、牛栏和残垣断壁；公路沿线无出店经营和占道经营；农户房前屋后无乱堆乱放；公路沿线无有碍观瞻的杂物；公路上无打场晒粮；无未硬化的连接干线公路的支线公路；无违法开山炸石、取土弃土、劈山建房和违章建房】</w:t>
      </w:r>
      <w:r>
        <w:rPr>
          <w:rFonts w:ascii="仿宋_GB2312" w:eastAsia="仿宋_GB2312" w:hAnsi="楷体" w:hint="eastAsia"/>
          <w:sz w:val="32"/>
          <w:szCs w:val="32"/>
        </w:rPr>
        <w:t>、紧凑串联“归燕领航、美颜建功、轻风易俗、厚基聚力、乐苗关爱”五大元素的“雨露青禾”精品线路，绘制萌版旅游地图。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6</w:t>
      </w:r>
      <w:r>
        <w:rPr>
          <w:rFonts w:ascii="仿宋_GB2312" w:eastAsia="仿宋_GB2312" w:hAnsi="楷体" w:hint="eastAsia"/>
          <w:b/>
          <w:sz w:val="32"/>
          <w:szCs w:val="32"/>
        </w:rPr>
        <w:t>.助推环境综合整治。</w:t>
      </w:r>
      <w:r>
        <w:rPr>
          <w:rFonts w:ascii="仿宋_GB2312" w:eastAsia="仿宋_GB2312" w:hAnsi="楷体" w:hint="eastAsia"/>
          <w:sz w:val="32"/>
          <w:szCs w:val="32"/>
        </w:rPr>
        <w:t>围绕全力攻坚垃圾革命、污水革命、厕所革命等关键小事，在农村青少年群体中深入开展垃圾分类、美丽河湖建设、农户水冲式卫生厕所普及、光盘限塑、秸杆禁烧等绿色宣导活动，持续巩固“小手拉大手”垃圾分类志愿服务行动、“青年林”建设等环保工作成果，到2018年底，各行政村组建至少一支“美颜建功”青春服务队。号召各级青联委员、青企协会员率先加快转型升级、发展生态经济。</w:t>
      </w:r>
    </w:p>
    <w:p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lastRenderedPageBreak/>
        <w:t>（三）紧扣“乡风文明”总要求，深入实施“雨露青禾·轻风易俗”行动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7</w:t>
      </w:r>
      <w:r>
        <w:rPr>
          <w:rFonts w:ascii="仿宋_GB2312" w:eastAsia="仿宋_GB2312" w:hAnsi="楷体" w:hint="eastAsia"/>
          <w:b/>
          <w:sz w:val="32"/>
          <w:szCs w:val="32"/>
        </w:rPr>
        <w:t>.引领移风易俗风尚</w:t>
      </w:r>
      <w:r>
        <w:rPr>
          <w:rFonts w:ascii="仿宋_GB2312" w:eastAsia="仿宋_GB2312" w:hAnsi="华文中宋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继续评比宣传“十大杰出青年”“青年风云人物”“农村青年致富带头人”等可亲、可信、可学的乡村好青年，启动“见贤思齐·青年新乡贤”选树活动，全市四年选树“青年新乡贤”不少于250名。通过举办集体婚礼、倡导农村宴席进家宴中心等，发掘一批节俭操办红白喜事的乡村青年典型，向大操大办、厚葬薄养、高价礼金、人情攀比等陈规陋习宣战。到2018年底，各行政村组建至少一支“轻风易俗”青春宣讲队，深入开展习近平新时代中国特色社会主义思想和红船精神宣传教育，广泛传播社会主义核心价值观、“勤善和美”嘉兴人共同价值观及文明礼仪、村规民约、家风家训等，坚决抵制封建迷信、歪风邪气。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8</w:t>
      </w:r>
      <w:r>
        <w:rPr>
          <w:rFonts w:ascii="仿宋_GB2312" w:eastAsia="仿宋_GB2312" w:hAnsi="楷体" w:hint="eastAsia"/>
          <w:b/>
          <w:sz w:val="32"/>
          <w:szCs w:val="32"/>
        </w:rPr>
        <w:t>.传承优秀传统文化</w:t>
      </w:r>
      <w:r>
        <w:rPr>
          <w:rFonts w:ascii="仿宋_GB2312" w:eastAsia="仿宋_GB2312" w:hAnsi="华文中宋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整合“双百双进”结对高校及本地高校资源，共同举办“百名大学生走进农村大礼堂”活动，动员大学生大力弘扬乡土、乡贤、村落文化，积极参与农村文化礼堂建设和星级评定。整合“青年之家”资源，依托青年社会组织和青年志愿者，常态化组织青少年开展国学讲堂、古物保护、非遗传承、民俗复兴、民间技艺学习、特色农耕体验、农活体验、农作物种植体验等活动，全市每年不少于200场，增进青少年对农村、农业天然的归属感和光荣感。</w:t>
      </w:r>
    </w:p>
    <w:p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9</w:t>
      </w:r>
      <w:r>
        <w:rPr>
          <w:rFonts w:ascii="仿宋_GB2312" w:eastAsia="仿宋_GB2312" w:hAnsi="楷体" w:hint="eastAsia"/>
          <w:b/>
          <w:sz w:val="32"/>
          <w:szCs w:val="32"/>
        </w:rPr>
        <w:t>.繁荣农村青春文化</w:t>
      </w:r>
      <w:r>
        <w:rPr>
          <w:rFonts w:ascii="仿宋_GB2312" w:eastAsia="仿宋_GB2312" w:hAnsi="华文中宋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切实发挥村级团组织作用，深入开展主题宣讲、文化卫生科技“三下乡”、新农村嘉年华、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婚恋交友、全民阅读、全民健身、诚信建设等活动，配合创建一批创意农业试点和农业文化发展示范基地。重点举办“百场‘红船青年说’进农村礼堂”和“百场乡村亲青恋”（交友联谊/集体婚礼）活动。</w:t>
      </w:r>
    </w:p>
    <w:p>
      <w:pPr>
        <w:spacing w:line="560" w:lineRule="exact"/>
        <w:ind w:firstLineChars="200" w:firstLine="643"/>
        <w:rPr>
          <w:rFonts w:ascii="宋体" w:cs="宋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（四）紧扣“治理有效”总要求，深入实施“雨露青禾·厚基聚力”行动</w:t>
      </w:r>
    </w:p>
    <w:p>
      <w:pPr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10</w:t>
      </w:r>
      <w:r>
        <w:rPr>
          <w:rFonts w:ascii="仿宋_GB2312" w:eastAsia="仿宋_GB2312" w:hAnsi="楷体" w:hint="eastAsia"/>
          <w:b/>
          <w:sz w:val="32"/>
          <w:szCs w:val="32"/>
        </w:rPr>
        <w:t>.夯实基层团青组织</w:t>
      </w:r>
      <w:r>
        <w:rPr>
          <w:rFonts w:ascii="仿宋_GB2312" w:eastAsia="仿宋_GB2312" w:hAnsi="华文中宋" w:hint="eastAsia"/>
          <w:b/>
          <w:bCs/>
          <w:color w:val="000000"/>
          <w:sz w:val="32"/>
          <w:szCs w:val="32"/>
        </w:rPr>
        <w:t>。</w:t>
      </w:r>
      <w:r>
        <w:rPr>
          <w:rFonts w:ascii="仿宋" w:eastAsia="仿宋_GB2312" w:hAnsi="仿宋" w:hint="eastAsia"/>
          <w:color w:val="000000"/>
          <w:sz w:val="32"/>
          <w:szCs w:val="32"/>
        </w:rPr>
        <w:t>全面推进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基层团建“双百双提升”，严格执行“一对照两随机一公开”制度</w:t>
      </w:r>
      <w:r>
        <w:rPr>
          <w:rFonts w:ascii="仿宋_GB2312" w:eastAsia="仿宋_GB2312" w:hAnsi="楷体" w:hint="eastAsia"/>
          <w:sz w:val="24"/>
          <w:szCs w:val="24"/>
        </w:rPr>
        <w:t>【</w:t>
      </w:r>
      <w:r>
        <w:rPr>
          <w:rFonts w:ascii="仿宋_GB2312" w:eastAsia="仿宋_GB2312" w:hAnsi="华文中宋" w:hint="eastAsia"/>
          <w:color w:val="000000"/>
          <w:sz w:val="24"/>
          <w:szCs w:val="24"/>
        </w:rPr>
        <w:t>一对照：依据《全省各领域基层团建“三张清单”》，对照任务清单抓落实、对照问题清单抓整顿、对照经验清单抓提升；两随机：随机抽取检查对象、随机指派团情检查组；一公开：结果“一公开”，设立“双百双提升”电子专刊公开结果</w:t>
      </w:r>
      <w:r>
        <w:rPr>
          <w:rFonts w:ascii="仿宋_GB2312" w:eastAsia="仿宋_GB2312" w:hAnsi="楷体" w:hint="eastAsia"/>
          <w:sz w:val="24"/>
          <w:szCs w:val="24"/>
        </w:rPr>
        <w:t>】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，探索推行镇（街道）团委书记评议制度，扎实整顿软弱涣散村级团组织。全面贯彻党建带群建、区域化群建、群团共建“三建”工作要求，积极推动党建团建统一研究、统一部署、统一落实、统一提高，务实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探索农村青年专业合作组织、行业协会、产业链、农技服务基地等新型团建，加快形成大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群团间发展共谋、力量共用、资源共享、活动共办的联动格局。</w:t>
      </w:r>
      <w:r>
        <w:rPr>
          <w:rFonts w:ascii="仿宋_GB2312" w:eastAsia="仿宋_GB2312" w:hAnsi="楷体" w:hint="eastAsia"/>
          <w:sz w:val="32"/>
          <w:szCs w:val="32"/>
        </w:rPr>
        <w:t>到2022年，完成全市所有镇（街道）团委对标提升任务，创建百家村级“活力团支部”，实现“青年之家”行政村全覆盖。</w:t>
      </w:r>
    </w:p>
    <w:p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11</w:t>
      </w:r>
      <w:r>
        <w:rPr>
          <w:rFonts w:ascii="仿宋_GB2312" w:eastAsia="仿宋_GB2312" w:hAnsi="楷体" w:hint="eastAsia"/>
          <w:b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spacing w:val="-2"/>
          <w:sz w:val="32"/>
          <w:szCs w:val="32"/>
        </w:rPr>
        <w:t>建设青春“三治”队伍</w:t>
      </w:r>
      <w:r>
        <w:rPr>
          <w:rFonts w:ascii="仿宋_GB2312" w:eastAsia="仿宋_GB2312" w:hAnsi="华文中宋" w:hint="eastAsia"/>
          <w:b/>
          <w:bCs/>
          <w:color w:val="000000"/>
          <w:spacing w:val="-2"/>
          <w:sz w:val="32"/>
          <w:szCs w:val="32"/>
        </w:rPr>
        <w:t>。</w:t>
      </w:r>
      <w:r>
        <w:rPr>
          <w:rFonts w:ascii="仿宋_GB2312" w:eastAsia="仿宋_GB2312" w:hAnsi="华文中宋" w:hint="eastAsia"/>
          <w:color w:val="000000"/>
          <w:spacing w:val="-2"/>
          <w:sz w:val="32"/>
          <w:szCs w:val="32"/>
        </w:rPr>
        <w:t>贯彻自治、法治、德治“三治融合”方针，秉持“互联网</w:t>
      </w:r>
      <w:r>
        <w:rPr>
          <w:rFonts w:ascii="仿宋_GB2312" w:eastAsia="仿宋_GB2312" w:hAnsi="华文中宋"/>
          <w:color w:val="000000"/>
          <w:spacing w:val="-2"/>
          <w:sz w:val="32"/>
          <w:szCs w:val="32"/>
        </w:rPr>
        <w:t>+</w:t>
      </w:r>
      <w:r>
        <w:rPr>
          <w:rFonts w:ascii="仿宋_GB2312" w:eastAsia="仿宋_GB2312" w:hAnsi="华文中宋" w:hint="eastAsia"/>
          <w:color w:val="000000"/>
          <w:spacing w:val="-2"/>
          <w:sz w:val="32"/>
          <w:szCs w:val="32"/>
        </w:rPr>
        <w:t>公益社群”理念，发挥共青团枢纽型组织作用</w:t>
      </w:r>
      <w:r>
        <w:rPr>
          <w:rFonts w:ascii="Times New Roman" w:eastAsia="仿宋_GB2312" w:hAnsi="Times New Roman" w:hint="eastAsia"/>
          <w:spacing w:val="-2"/>
          <w:sz w:val="32"/>
          <w:szCs w:val="32"/>
        </w:rPr>
        <w:t>，到</w:t>
      </w:r>
      <w:r>
        <w:rPr>
          <w:rFonts w:ascii="Times New Roman" w:eastAsia="仿宋_GB2312" w:hAnsi="Times New Roman" w:hint="eastAsia"/>
          <w:spacing w:val="-2"/>
          <w:sz w:val="32"/>
          <w:szCs w:val="32"/>
        </w:rPr>
        <w:t>2018</w:t>
      </w:r>
      <w:r>
        <w:rPr>
          <w:rFonts w:ascii="Times New Roman" w:eastAsia="仿宋_GB2312" w:hAnsi="Times New Roman" w:hint="eastAsia"/>
          <w:spacing w:val="-2"/>
          <w:sz w:val="32"/>
          <w:szCs w:val="32"/>
        </w:rPr>
        <w:t>年底，</w:t>
      </w:r>
      <w:r>
        <w:rPr>
          <w:rFonts w:ascii="仿宋_GB2312" w:eastAsia="仿宋_GB2312" w:hAnsi="华文中宋" w:hint="eastAsia"/>
          <w:color w:val="000000"/>
          <w:spacing w:val="-2"/>
          <w:sz w:val="32"/>
          <w:szCs w:val="32"/>
        </w:rPr>
        <w:t>每个行政村组建至少一支</w:t>
      </w:r>
      <w:r>
        <w:rPr>
          <w:rFonts w:ascii="仿宋_GB2312" w:eastAsia="仿宋_GB2312" w:hAnsi="楷体" w:hint="eastAsia"/>
          <w:spacing w:val="-2"/>
          <w:sz w:val="32"/>
          <w:szCs w:val="32"/>
        </w:rPr>
        <w:t>“团干部</w:t>
      </w:r>
      <w:r>
        <w:rPr>
          <w:rFonts w:ascii="仿宋_GB2312" w:eastAsia="仿宋_GB2312" w:hAnsi="楷体"/>
          <w:spacing w:val="-2"/>
          <w:sz w:val="32"/>
          <w:szCs w:val="32"/>
        </w:rPr>
        <w:t>+</w:t>
      </w:r>
      <w:r>
        <w:rPr>
          <w:rFonts w:ascii="仿宋_GB2312" w:eastAsia="仿宋_GB2312" w:hAnsi="楷体" w:hint="eastAsia"/>
          <w:spacing w:val="-2"/>
          <w:sz w:val="32"/>
          <w:szCs w:val="32"/>
        </w:rPr>
        <w:t>社会组织骨干</w:t>
      </w:r>
      <w:r>
        <w:rPr>
          <w:rFonts w:ascii="仿宋_GB2312" w:eastAsia="仿宋_GB2312" w:hAnsi="楷体"/>
          <w:spacing w:val="-2"/>
          <w:sz w:val="32"/>
          <w:szCs w:val="32"/>
        </w:rPr>
        <w:t>+</w:t>
      </w:r>
      <w:r>
        <w:rPr>
          <w:rFonts w:ascii="仿宋_GB2312" w:eastAsia="仿宋_GB2312" w:hAnsi="楷体" w:hint="eastAsia"/>
          <w:spacing w:val="-2"/>
          <w:sz w:val="32"/>
          <w:szCs w:val="32"/>
        </w:rPr>
        <w:t>志愿者”的“厚基聚力”</w:t>
      </w:r>
      <w:r>
        <w:rPr>
          <w:rFonts w:ascii="仿宋_GB2312" w:eastAsia="仿宋_GB2312" w:hAnsi="华文中宋" w:hint="eastAsia"/>
          <w:color w:val="000000"/>
          <w:spacing w:val="-2"/>
          <w:sz w:val="32"/>
          <w:szCs w:val="32"/>
        </w:rPr>
        <w:t>青春“三治”队，协同参与基层社会治理体系建设。建立农村治理青年人</w:t>
      </w:r>
      <w:r>
        <w:rPr>
          <w:rFonts w:ascii="仿宋_GB2312" w:eastAsia="仿宋_GB2312" w:hAnsi="华文中宋" w:hint="eastAsia"/>
          <w:color w:val="000000"/>
          <w:spacing w:val="-2"/>
          <w:sz w:val="32"/>
          <w:szCs w:val="32"/>
        </w:rPr>
        <w:lastRenderedPageBreak/>
        <w:t>才库，完善农村团员青年推优入党机制，开展“双百双进”结对高校及本地高校派驻百名大学生入村挂职工作。</w:t>
      </w:r>
      <w:r>
        <w:rPr>
          <w:rFonts w:ascii="Times New Roman" w:eastAsia="仿宋_GB2312" w:hAnsi="Times New Roman" w:hint="eastAsia"/>
          <w:spacing w:val="-2"/>
          <w:sz w:val="32"/>
          <w:szCs w:val="32"/>
        </w:rPr>
        <w:t>选优配强农村团干部工作力量，鼓励基层团干部应考社会工作师、心理咨询师等专业资质。</w:t>
      </w:r>
    </w:p>
    <w:p>
      <w:pPr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12</w:t>
      </w:r>
      <w:r>
        <w:rPr>
          <w:rFonts w:ascii="仿宋_GB2312" w:eastAsia="仿宋_GB2312" w:hAnsi="楷体" w:hint="eastAsia"/>
          <w:b/>
          <w:sz w:val="32"/>
          <w:szCs w:val="32"/>
        </w:rPr>
        <w:t>.健全青春善治制度。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结合“一约两会三团”乡村治理组织形式创新</w:t>
      </w:r>
      <w:r>
        <w:rPr>
          <w:rFonts w:ascii="仿宋_GB2312" w:eastAsia="仿宋_GB2312" w:hAnsi="楷体" w:hint="eastAsia"/>
          <w:sz w:val="24"/>
          <w:szCs w:val="24"/>
        </w:rPr>
        <w:t>【完善村规民约，健全村民议事会、乡贤参事会，建立“百姓参政团”“道德评判团”“百事服务团”】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，发动新农人群体积极参与村务监督、参政议事、普法教育、道德评判、治保调解、扶危济困、预防诈骗、文体活动等。结合共青团大学习大调研大抓落实活动，扎实推进“</w:t>
      </w:r>
      <w:r>
        <w:rPr>
          <w:rFonts w:ascii="仿宋_GB2312" w:eastAsia="仿宋_GB2312" w:hAnsi="华文中宋"/>
          <w:color w:val="000000"/>
          <w:sz w:val="32"/>
          <w:szCs w:val="32"/>
        </w:rPr>
        <w:t>1+</w:t>
      </w:r>
      <w:smartTag w:uri="urn:schemas-microsoft-com:office:smarttags" w:element="chmetcnv">
        <w:smartTagPr>
          <w:attr w:name="UnitName" w:val="”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华文中宋"/>
            <w:color w:val="000000"/>
            <w:sz w:val="32"/>
            <w:szCs w:val="32"/>
          </w:rPr>
          <w:t>100</w:t>
        </w:r>
        <w:r>
          <w:rPr>
            <w:rFonts w:ascii="仿宋_GB2312" w:eastAsia="仿宋_GB2312" w:hAnsi="华文中宋" w:hint="eastAsia"/>
            <w:color w:val="000000"/>
            <w:sz w:val="32"/>
            <w:szCs w:val="32"/>
          </w:rPr>
          <w:t>”</w:t>
        </w:r>
      </w:smartTag>
      <w:r>
        <w:rPr>
          <w:rFonts w:ascii="仿宋_GB2312" w:eastAsia="仿宋_GB2312" w:hAnsi="华文中宋" w:hint="eastAsia"/>
          <w:color w:val="000000"/>
          <w:sz w:val="32"/>
          <w:szCs w:val="32"/>
        </w:rPr>
        <w:t>“大脚掌走基层”等直接联系青年制度落地见效，每名专职团干部结对服务红船新农人和困难青少年各不少于3名。结合“青助跑·嘉速度”青年文明号助推“最多跑一次”改革主题行动，各县（市、区）层面建立乡村号手服务员、红色代办员、志愿宣导员制度，加强信息化与乡村治理深度融合。鼓励其他有利于青春助力乡村振兴的制度探索。</w:t>
      </w:r>
    </w:p>
    <w:p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（五）紧扣“生活富裕”总要求，深入实施“雨露青禾·乐苗关爱”行动</w:t>
      </w:r>
    </w:p>
    <w:p>
      <w:pPr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13</w:t>
      </w:r>
      <w:r>
        <w:rPr>
          <w:rFonts w:ascii="仿宋_GB2312" w:eastAsia="仿宋_GB2312" w:hAnsi="楷体" w:hint="eastAsia"/>
          <w:b/>
          <w:sz w:val="32"/>
          <w:szCs w:val="32"/>
        </w:rPr>
        <w:t>.关爱低收入青少年</w:t>
      </w:r>
      <w:r>
        <w:rPr>
          <w:rFonts w:ascii="仿宋_GB2312" w:eastAsia="仿宋_GB2312" w:hAnsi="华文中宋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持之以恒推进扶贫帮困工作，依托“亲青筹”、青联、青企协、志协、慈善机构、公益组织、新闻媒体等平台和日益增长的民间爱心力量，为低收入青少年提供助学、助医、助残及扶困、扶志、扶智等呵护，助力低收入农户全面小康计划。到2022年，全市建成</w:t>
      </w:r>
      <w:r>
        <w:rPr>
          <w:rFonts w:ascii="仿宋_GB2312" w:eastAsia="仿宋_GB2312" w:hAnsi="华文中宋"/>
          <w:color w:val="000000"/>
          <w:sz w:val="32"/>
          <w:szCs w:val="32"/>
        </w:rPr>
        <w:t>50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家以上光伏助学电站，资助400名以上低收入家庭应届高中毕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业生圆大学梦。</w:t>
      </w:r>
    </w:p>
    <w:p>
      <w:pPr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14</w:t>
      </w:r>
      <w:r>
        <w:rPr>
          <w:rFonts w:ascii="仿宋_GB2312" w:eastAsia="仿宋_GB2312" w:hAnsi="楷体" w:hint="eastAsia"/>
          <w:b/>
          <w:sz w:val="32"/>
          <w:szCs w:val="32"/>
        </w:rPr>
        <w:t>.关爱青少年融入与创业就业。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聚焦心理关怀，统筹“百场‘流动少年宫’进乡村”活动，继续开展万封家书传亲情、公益夏（冬）令营、情暖童心等品牌项目。聚焦创业就业，链接职业院校、青年企业家等资源，提供千个就业见习实践岗位。</w:t>
      </w:r>
    </w:p>
    <w:p>
      <w:pPr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15</w:t>
      </w:r>
      <w:r>
        <w:rPr>
          <w:rFonts w:ascii="仿宋_GB2312" w:eastAsia="仿宋_GB2312" w:hAnsi="楷体" w:hint="eastAsia"/>
          <w:b/>
          <w:sz w:val="32"/>
          <w:szCs w:val="32"/>
        </w:rPr>
        <w:t>.关爱特殊群体青少年</w:t>
      </w:r>
      <w:r>
        <w:rPr>
          <w:rFonts w:ascii="仿宋_GB2312" w:eastAsia="仿宋_GB2312" w:hAnsi="华文中宋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深化预青未保工作，发挥“亲青帮”平台作用，通过网上网下融合，深化农村青少年法治宣传教育，进一步发挥12355青少年服务台作用，推进未成年人社会观护体系建设。深化当好桥梁工作，加大“共青团与人大代表、政协委员面对面”等活动频次，有序反映农村青少年诉求。</w:t>
      </w:r>
    </w:p>
    <w:p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四、工作保障</w:t>
      </w:r>
    </w:p>
    <w:p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1.统一思想，加强领导。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建立团市委班子直接联系县（市、区）及精品线路制度，把“雨露青禾”主题行动作为一段时期内做好我市农村共青团工作的总抓手，统筹协调机制建设、要素配置、资金保障等工作。各县（市、区）要在</w:t>
      </w: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月下旬形成逐项落实“雨露青禾”主题行动的细化方案，条目式列明完成各项指标的任务书、路线图、时间表。</w:t>
      </w:r>
    </w:p>
    <w:p>
      <w:pPr>
        <w:spacing w:line="560" w:lineRule="exact"/>
        <w:ind w:firstLineChars="200" w:firstLine="643"/>
        <w:rPr>
          <w:rFonts w:asci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ascii="楷体_GB2312" w:eastAsia="楷体_GB2312" w:hAnsi="仿宋_GB2312" w:cs="仿宋_GB2312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.督考联动，整体推进。</w:t>
      </w:r>
      <w:r>
        <w:rPr>
          <w:rFonts w:ascii="仿宋_GB2312" w:eastAsia="仿宋_GB2312" w:cs="仿宋_GB2312" w:hint="eastAsia"/>
          <w:color w:val="000000"/>
          <w:spacing w:val="-6"/>
          <w:sz w:val="32"/>
          <w:szCs w:val="32"/>
        </w:rPr>
        <w:t>狠抓督查，按照月度调研分析、季度汇总督办、半年互观互检、整年评价通报的节奏，形成覆盖全市、贯穿长期的工作合力。加强考核，制定“雨露青禾”主题行动考核细则，列入全市乡村振兴目标任务考核体系，作为对县（市、区）党政目标责任制考核的重要内容。</w:t>
      </w:r>
    </w:p>
    <w:p>
      <w:pPr>
        <w:spacing w:line="560" w:lineRule="exact"/>
        <w:ind w:firstLineChars="200" w:firstLine="643"/>
        <w:rPr>
          <w:rFonts w:asci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lastRenderedPageBreak/>
        <w:t>3.各方联动，形成合力。</w:t>
      </w:r>
      <w:r>
        <w:rPr>
          <w:rFonts w:ascii="仿宋_GB2312" w:eastAsia="仿宋_GB2312" w:cs="仿宋_GB2312" w:hint="eastAsia"/>
          <w:color w:val="000000"/>
          <w:spacing w:val="-6"/>
          <w:sz w:val="32"/>
          <w:szCs w:val="32"/>
        </w:rPr>
        <w:t>市属各单位团组织要结合本单位工作实际，围绕“雨露青禾”主题行动总体部署，在政策、队伍、阵地、资源等方面创设助力乡村振兴的具体工作抓手和载体，积极同团市委和各县（市、区）团委开展工作对接，实现资源共享，塑造特色品牌。各县（市、区）要充分发挥农业战线“两代表一委员”和挂兼职团干部作用，健全镇（街道）“大团委”制，通过资源整合、下沉、倾斜，进一步破解基层团组织编制、力量、经费、场所“四缺”制约。</w:t>
      </w:r>
    </w:p>
    <w:p>
      <w:pPr>
        <w:spacing w:line="560" w:lineRule="exact"/>
        <w:ind w:firstLineChars="200" w:firstLine="643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4.调研宣传，营造声势。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结合大学习大调研总体部署，2019年底、2021年中前，各县（市、区）分别撰写一篇以乡村振兴为主题的调研报告，择优纳入市级重点调研课题。原创歌舞、朗诵、小品、三句半等群众喜闻乐见的文艺作品，运用知识问答、快闪、随手拍、短视频等群众认可度高的宣介载体，发挥线上“一站两微”“青春云端”、线下“青年之家”“红船青年说”等团属阵地作用，总结好一批特色做法，选树好一批先锋模范，讲述好一批青春故事，铺排好一批有形标识，</w:t>
      </w:r>
      <w:r>
        <w:rPr>
          <w:rFonts w:ascii="仿宋_GB2312" w:eastAsia="仿宋_GB2312" w:cs="仿宋_GB2312" w:hint="eastAsia"/>
          <w:color w:val="000000"/>
          <w:spacing w:val="-6"/>
          <w:sz w:val="32"/>
          <w:szCs w:val="32"/>
        </w:rPr>
        <w:t>努力营造“雨露青禾就在你身边”的浓郁氛围。</w:t>
      </w:r>
      <w:r>
        <w:rPr>
          <w:rFonts w:ascii="仿宋_GB2312" w:eastAsia="仿宋_GB2312" w:hint="eastAsia"/>
          <w:color w:val="000000"/>
          <w:sz w:val="32"/>
          <w:szCs w:val="32"/>
        </w:rPr>
        <w:t>建立信息报送机制，各县（市、区）每季度末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>28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日前上报典型经验和工作进度等材料至团市委青少年部。联系人：郑玲；联系电话：</w:t>
      </w:r>
      <w:r>
        <w:rPr>
          <w:rFonts w:ascii="仿宋_GB2312" w:eastAsia="仿宋_GB2312" w:cs="仿宋_GB2312"/>
          <w:color w:val="000000"/>
          <w:sz w:val="32"/>
          <w:szCs w:val="32"/>
        </w:rPr>
        <w:t>82521877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；电子邮箱：</w:t>
      </w:r>
      <w:hyperlink r:id="rId7" w:history="1">
        <w:r>
          <w:rPr>
            <w:rStyle w:val="a3"/>
            <w:rFonts w:ascii="仿宋_GB2312" w:eastAsia="仿宋_GB2312" w:cs="仿宋_GB2312"/>
            <w:color w:val="auto"/>
            <w:sz w:val="32"/>
            <w:szCs w:val="32"/>
            <w:u w:val="none"/>
          </w:rPr>
          <w:t>jxtswqsnb@163.com</w:t>
        </w:r>
      </w:hyperlink>
    </w:p>
    <w:p>
      <w:pPr>
        <w:spacing w:line="560" w:lineRule="exact"/>
        <w:jc w:val="righ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>
      <w:pPr>
        <w:spacing w:line="560" w:lineRule="exact"/>
        <w:ind w:firstLineChars="200" w:firstLine="624"/>
        <w:rPr>
          <w:rFonts w:ascii="仿宋_GB2312" w:eastAsia="仿宋_GB2312" w:hAnsi="华文中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napToGrid w:val="0"/>
          <w:color w:val="000000"/>
          <w:spacing w:val="-4"/>
          <w:kern w:val="0"/>
          <w:sz w:val="32"/>
          <w:szCs w:val="32"/>
        </w:rPr>
        <w:t>附件：</w:t>
      </w:r>
      <w:r>
        <w:rPr>
          <w:rFonts w:ascii="仿宋_GB2312" w:eastAsia="仿宋_GB2312" w:hAnsi="华文中宋"/>
          <w:snapToGrid w:val="0"/>
          <w:color w:val="000000"/>
          <w:spacing w:val="-4"/>
          <w:kern w:val="0"/>
          <w:sz w:val="32"/>
          <w:szCs w:val="32"/>
        </w:rPr>
        <w:t>1</w:t>
      </w:r>
      <w:r>
        <w:rPr>
          <w:rFonts w:ascii="仿宋_GB2312" w:eastAsia="仿宋_GB2312" w:hAnsi="华文中宋" w:hint="eastAsia"/>
          <w:snapToGrid w:val="0"/>
          <w:color w:val="000000"/>
          <w:spacing w:val="-4"/>
          <w:kern w:val="0"/>
          <w:sz w:val="32"/>
          <w:szCs w:val="32"/>
        </w:rPr>
        <w:t>.“雨露青禾”主题行动重点任务分解；</w:t>
      </w:r>
    </w:p>
    <w:p>
      <w:pPr>
        <w:spacing w:line="560" w:lineRule="exact"/>
        <w:ind w:leftChars="740" w:left="2022" w:hangingChars="150" w:hanging="468"/>
        <w:rPr>
          <w:rFonts w:ascii="仿宋_GB2312" w:eastAsia="仿宋_GB2312" w:hAnsi="华文中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华文中宋"/>
          <w:snapToGrid w:val="0"/>
          <w:color w:val="000000"/>
          <w:spacing w:val="-4"/>
          <w:kern w:val="0"/>
          <w:sz w:val="32"/>
          <w:szCs w:val="32"/>
        </w:rPr>
        <w:t>2</w:t>
      </w:r>
      <w:r>
        <w:rPr>
          <w:rFonts w:ascii="仿宋_GB2312" w:eastAsia="仿宋_GB2312" w:hAnsi="华文中宋" w:hint="eastAsia"/>
          <w:snapToGrid w:val="0"/>
          <w:color w:val="000000"/>
          <w:spacing w:val="-4"/>
          <w:kern w:val="0"/>
          <w:sz w:val="32"/>
          <w:szCs w:val="32"/>
        </w:rPr>
        <w:t>.“雨露青禾”主题行动2018年团市委书记班子联系安排；</w:t>
      </w:r>
    </w:p>
    <w:p>
      <w:pPr>
        <w:spacing w:line="560" w:lineRule="exact"/>
        <w:ind w:firstLineChars="500" w:firstLine="1560"/>
        <w:rPr>
          <w:rFonts w:ascii="仿宋_GB2312" w:eastAsia="仿宋_GB2312" w:hAnsi="华文中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napToGrid w:val="0"/>
          <w:color w:val="000000"/>
          <w:spacing w:val="-4"/>
          <w:kern w:val="0"/>
          <w:sz w:val="32"/>
          <w:szCs w:val="32"/>
        </w:rPr>
        <w:lastRenderedPageBreak/>
        <w:t>3.“雨露青禾”主题行动工作进度季报；</w:t>
      </w:r>
    </w:p>
    <w:p>
      <w:pPr>
        <w:spacing w:line="560" w:lineRule="exact"/>
        <w:ind w:firstLineChars="500" w:firstLine="160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4.“雨露青禾”主题行动典型经验材料格式。</w:t>
      </w:r>
    </w:p>
    <w:p>
      <w:pPr>
        <w:spacing w:line="560" w:lineRule="exact"/>
        <w:ind w:right="462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>
      <w:pPr>
        <w:spacing w:line="560" w:lineRule="exact"/>
        <w:ind w:right="462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>
      <w:pPr>
        <w:spacing w:line="560" w:lineRule="exact"/>
        <w:ind w:right="462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嘉兴市乡村振兴领导小组办公室</w:t>
      </w:r>
    </w:p>
    <w:p>
      <w:pPr>
        <w:adjustRightInd w:val="0"/>
        <w:snapToGrid w:val="0"/>
        <w:spacing w:line="560" w:lineRule="exact"/>
        <w:jc w:val="right"/>
        <w:rPr>
          <w:rFonts w:asci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pacing w:val="100"/>
          <w:kern w:val="0"/>
          <w:sz w:val="32"/>
          <w:szCs w:val="32"/>
          <w:fitText w:val="4480" w:id="1718787328"/>
        </w:rPr>
        <w:t>共青团嘉兴市委员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fitText w:val="4480" w:id="1718787328"/>
        </w:rPr>
        <w:t>会</w:t>
      </w:r>
    </w:p>
    <w:p>
      <w:pPr>
        <w:wordWrap w:val="0"/>
        <w:spacing w:line="560" w:lineRule="exact"/>
        <w:ind w:right="924"/>
        <w:jc w:val="right"/>
        <w:rPr>
          <w:rFonts w:ascii="仿宋_GB2312" w:eastAsia="仿宋_GB2312" w:cs="仿宋_GB2312"/>
          <w:color w:val="000000"/>
          <w:spacing w:val="-6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6"/>
          <w:attr w:name="Day" w:val="13"/>
          <w:attr w:name="IsLunarDate" w:val="False"/>
          <w:attr w:name="IsROCDate" w:val="False"/>
        </w:smartTagPr>
        <w:r>
          <w:rPr>
            <w:rFonts w:ascii="仿宋_GB2312" w:eastAsia="仿宋_GB2312" w:cs="仿宋_GB2312" w:hint="eastAsia"/>
            <w:color w:val="000000"/>
            <w:spacing w:val="-6"/>
            <w:sz w:val="32"/>
            <w:szCs w:val="32"/>
          </w:rPr>
          <w:t>2018年6月13日</w:t>
        </w:r>
      </w:smartTag>
    </w:p>
    <w:p>
      <w:pPr>
        <w:spacing w:line="560" w:lineRule="exact"/>
        <w:ind w:firstLineChars="300" w:firstLine="960"/>
        <w:rPr>
          <w:rFonts w:ascii="仿宋_GB2312" w:eastAsia="仿宋_GB2312" w:hAnsi="华文中宋"/>
          <w:color w:val="000000"/>
          <w:sz w:val="32"/>
          <w:szCs w:val="32"/>
        </w:rPr>
        <w:sectPr>
          <w:footerReference w:type="even" r:id="rId8"/>
          <w:footerReference w:type="default" r:id="rId9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“雨露青禾”主题行动重点任务分解</w:t>
      </w:r>
    </w:p>
    <w:p>
      <w:pPr>
        <w:spacing w:line="240" w:lineRule="exact"/>
        <w:ind w:firstLineChars="1050" w:firstLine="3780"/>
        <w:rPr>
          <w:rFonts w:ascii="方正小标宋简体" w:eastAsia="方正小标宋简体" w:hAnsi="华文中宋"/>
          <w:color w:val="000000"/>
          <w:sz w:val="36"/>
          <w:szCs w:val="36"/>
        </w:rPr>
      </w:pP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67"/>
        <w:gridCol w:w="709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283"/>
        <w:gridCol w:w="552"/>
        <w:gridCol w:w="485"/>
        <w:gridCol w:w="499"/>
        <w:gridCol w:w="591"/>
        <w:gridCol w:w="444"/>
        <w:gridCol w:w="500"/>
        <w:gridCol w:w="499"/>
        <w:gridCol w:w="501"/>
        <w:gridCol w:w="500"/>
        <w:gridCol w:w="495"/>
        <w:gridCol w:w="553"/>
      </w:tblGrid>
      <w:tr>
        <w:trPr>
          <w:trHeight w:val="4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重点任务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打造雨露青禾精品线路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形成雨露青禾调研成果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归燕领航行动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美颜建功行动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轻风易俗行动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厚基聚力行动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乐苗关爱行动</w:t>
            </w:r>
          </w:p>
        </w:tc>
      </w:tr>
      <w:tr>
        <w:trPr>
          <w:trHeight w:val="1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建成青创农场、乡村青创空间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新农人组织建设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培育红船新农人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组建技术服务团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聘请青农创业导师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举办青农培训</w:t>
            </w:r>
            <w:r>
              <w:rPr>
                <w:rStyle w:val="font11"/>
                <w:rFonts w:hAnsi="宋体" w:hint="default"/>
                <w:lang w:bidi="ar"/>
              </w:rPr>
              <w:t>、青农赛事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开展融资技术联谊等青农创活动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孵化青农创客典型项目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组建河小二志愿服务队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开展河小二志愿服务活动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组建美颜建功青春服务队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共青示范河水水质达Ⅲ类及以上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选树青年新乡贤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组建轻风易俗青春宣讲队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开展传承优秀传统文化活动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举办红船青年说进农村礼堂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举办乡村亲青恋（交友联谊/集体婚礼）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创建村级活力团支部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建设村级青年之家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组建厚基聚力青春三治队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大学生入村挂职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资助低收入家庭应届高中毕业生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开展流动少年宫进乡村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提供就业见习实践岗位</w:t>
            </w:r>
          </w:p>
        </w:tc>
      </w:tr>
      <w:tr>
        <w:trPr>
          <w:trHeight w:val="2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各县（市、区）不少于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1条/年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2019年底、2021年中各1篇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2+3家／年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2018年底市县两级全覆盖，2020年底市县镇三级全覆盖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60名／年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2018年底镇级全覆盖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6名/年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11"/>
                <w:rFonts w:hAnsi="宋体" w:hint="default"/>
                <w:lang w:bidi="ar"/>
              </w:rPr>
              <w:t>+1场／年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6场/年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6个／年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20支／年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80场／年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2018年底行政村全覆盖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2018、2020、2022年底分别达20%、40%、60%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10名／年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2018年底行政村全覆盖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10场/年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5场／年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5场／年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5家/年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2022年底行政村全覆盖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2018年底行政村全覆盖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5名／年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10名／年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5场／年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50个／年</w:t>
            </w:r>
          </w:p>
        </w:tc>
      </w:tr>
    </w:tbl>
    <w:p>
      <w:pPr>
        <w:spacing w:line="560" w:lineRule="exact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ind w:firstLineChars="300" w:firstLine="840"/>
        <w:rPr>
          <w:rFonts w:ascii="仿宋_GB2312" w:eastAsia="仿宋_GB2312" w:cs="仿宋_GB2312"/>
          <w:color w:val="000000"/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720"/>
          <w:docGrid w:type="linesAndChars" w:linePitch="312"/>
        </w:sectPr>
      </w:pPr>
    </w:p>
    <w:p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“雨露青禾”主题行动</w:t>
      </w:r>
    </w:p>
    <w:p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2018年团市委书记班子联系安排</w:t>
      </w:r>
    </w:p>
    <w:p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818"/>
        <w:gridCol w:w="3602"/>
      </w:tblGrid>
      <w:tr>
        <w:trPr>
          <w:trHeight w:hRule="exact" w:val="964"/>
          <w:jc w:val="center"/>
        </w:trPr>
        <w:tc>
          <w:tcPr>
            <w:tcW w:w="162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班子成员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县（市、区）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精品线路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于会游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南 湖</w:t>
            </w:r>
          </w:p>
        </w:tc>
        <w:tc>
          <w:tcPr>
            <w:tcW w:w="360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凤桥镇联丰村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海 盐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元通街道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俞奕凌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秀 洲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油车港镇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平 湖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林埭镇徐家埭村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田  凯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嘉 善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魏塘街道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李宇聪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海 宁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丁桥镇</w:t>
            </w:r>
          </w:p>
        </w:tc>
      </w:tr>
      <w:tr>
        <w:trPr>
          <w:trHeight w:hRule="exact" w:val="964"/>
          <w:jc w:val="center"/>
        </w:trPr>
        <w:tc>
          <w:tcPr>
            <w:tcW w:w="16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黄  艺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桐 乡</w:t>
            </w:r>
          </w:p>
        </w:tc>
        <w:tc>
          <w:tcPr>
            <w:tcW w:w="3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崇福镇东安村</w:t>
            </w:r>
          </w:p>
        </w:tc>
      </w:tr>
    </w:tbl>
    <w:p>
      <w:pPr>
        <w:spacing w:line="560" w:lineRule="exact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Chars="1150" w:firstLine="368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 w:val="32"/>
          <w:szCs w:val="32"/>
        </w:rPr>
        <w:sectPr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“雨露青禾”主题行动工作进度季报</w:t>
      </w:r>
    </w:p>
    <w:p>
      <w:pPr>
        <w:widowControl/>
        <w:jc w:val="center"/>
        <w:textAlignment w:val="center"/>
        <w:rPr>
          <w:rFonts w:ascii="楷体_GB2312" w:eastAsia="楷体_GB2312" w:hAnsi="宋体" w:cs="仿宋_GB2312"/>
          <w:color w:val="000000"/>
          <w:kern w:val="0"/>
          <w:sz w:val="24"/>
          <w:szCs w:val="24"/>
          <w:lang w:bidi="ar"/>
        </w:rPr>
      </w:pPr>
      <w:r>
        <w:rPr>
          <w:rFonts w:ascii="楷体_GB2312" w:eastAsia="楷体_GB2312" w:hAnsi="宋体" w:cs="仿宋_GB2312" w:hint="eastAsia"/>
          <w:color w:val="000000"/>
          <w:kern w:val="0"/>
          <w:sz w:val="24"/>
          <w:szCs w:val="24"/>
          <w:lang w:bidi="ar"/>
        </w:rPr>
        <w:t>×××县（市、区） 20××年××月</w:t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67"/>
        <w:gridCol w:w="709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283"/>
        <w:gridCol w:w="552"/>
        <w:gridCol w:w="485"/>
        <w:gridCol w:w="499"/>
        <w:gridCol w:w="591"/>
        <w:gridCol w:w="444"/>
        <w:gridCol w:w="500"/>
        <w:gridCol w:w="499"/>
        <w:gridCol w:w="501"/>
        <w:gridCol w:w="500"/>
        <w:gridCol w:w="495"/>
        <w:gridCol w:w="553"/>
      </w:tblGrid>
      <w:tr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重点任务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打造雨露青禾精品线路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形成雨露青禾调研成果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归燕领航行动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美颜建功行动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轻风易俗行动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厚基聚力行动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乐苗关爱行动</w:t>
            </w:r>
          </w:p>
        </w:tc>
      </w:tr>
      <w:tr>
        <w:trPr>
          <w:trHeight w:val="1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建成青创农场、乡村青创空间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新农人组织建设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培育红船新农人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组建技术服务团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聘请青农创业导师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举办青农培训</w:t>
            </w:r>
            <w:r>
              <w:rPr>
                <w:rStyle w:val="font11"/>
                <w:rFonts w:hAnsi="宋体" w:hint="default"/>
                <w:lang w:bidi="ar"/>
              </w:rPr>
              <w:t>、青农赛事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开展融资技术联谊等青农创活动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孵化青农创客典型项目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组建河小二志愿服务队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开展河小二志愿服务活动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组建美颜建功青春服务队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共青示范河水水质达Ⅲ类及以上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选树青年新乡贤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组建轻风易俗青春宣讲队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开展传承优秀传统文化活动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举办红船青年说进农村礼堂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举办乡村亲青恋（交友联谊/集体婚礼）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创建村级活力团支部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建设村级青年之家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组建厚基聚力青春三治队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大学生入村挂职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资助低收入家庭应届高中毕业生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开展流动少年宫进乡村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提供就业见习实践岗位</w:t>
            </w:r>
          </w:p>
        </w:tc>
      </w:tr>
      <w:tr>
        <w:trPr>
          <w:trHeight w:val="2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各县（市、区）不少于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1条/年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2019年底、2021年中各1篇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2+3家／年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2018年底市县两级全覆盖，2020年底市县镇三级全覆盖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60名／年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2018年底镇级全覆盖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6名/年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11"/>
                <w:rFonts w:hAnsi="宋体" w:hint="default"/>
                <w:lang w:bidi="ar"/>
              </w:rPr>
              <w:t>+1场／年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6场/年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6个／年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20支／年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80场／年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2018年底行政村全覆盖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2018、2020、2022年底分别达20%、40%、60%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10名／年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2018年底行政村全覆盖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10场/年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5场／年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5场／年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5家/年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2022年底行政村全覆盖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2018年底行政村全覆盖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5名／年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10名／年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5场／年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50个／年</w:t>
            </w:r>
          </w:p>
        </w:tc>
      </w:tr>
      <w:tr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本季完成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累计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</w:tbl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720"/>
          <w:docGrid w:type="linesAndChars" w:linePitch="312"/>
        </w:sectPr>
      </w:pPr>
    </w:p>
    <w:p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附件4</w:t>
      </w:r>
    </w:p>
    <w:p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“雨露青禾”主题行动典型经验材料格式</w:t>
      </w:r>
    </w:p>
    <w:p>
      <w:pPr>
        <w:spacing w:line="56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 w:cs="仿宋_GB2312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</w:rPr>
        <w:t>（主要分三个部分，字数控制在1000字以内）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一、本地开展“雨露青禾”主题行动总体概况；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二、典型经验阐述与提炼；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三、存在问题及下一步工作打算。</w:t>
      </w: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56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24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24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24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p>
      <w:pPr>
        <w:spacing w:line="24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>
        <w:tc>
          <w:tcPr>
            <w:tcW w:w="8330" w:type="dxa"/>
          </w:tcPr>
          <w:p>
            <w:pPr>
              <w:adjustRightInd w:val="0"/>
              <w:snapToGrid w:val="0"/>
              <w:spacing w:line="440" w:lineRule="exact"/>
              <w:ind w:rightChars="100" w:right="210" w:firstLineChars="100" w:firstLine="280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抄送：省乡村振兴办、团省委，孙贤龙副书记、沈晓红副市长、</w:t>
            </w:r>
          </w:p>
          <w:p>
            <w:pPr>
              <w:adjustRightInd w:val="0"/>
              <w:snapToGrid w:val="0"/>
              <w:spacing w:line="440" w:lineRule="exact"/>
              <w:ind w:rightChars="100" w:right="210" w:firstLineChars="400" w:firstLine="1120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洪湖鹏副市长，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朱国清副主任、肖建国副秘书长</w:t>
            </w:r>
          </w:p>
        </w:tc>
      </w:tr>
      <w:tr>
        <w:tc>
          <w:tcPr>
            <w:tcW w:w="8330" w:type="dxa"/>
          </w:tcPr>
          <w:p>
            <w:pPr>
              <w:adjustRightInd w:val="0"/>
              <w:snapToGrid w:val="0"/>
              <w:spacing w:line="440" w:lineRule="exact"/>
              <w:ind w:rightChars="100" w:right="210" w:firstLineChars="100" w:firstLine="280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共青团嘉兴市委办公室              </w:t>
            </w:r>
            <w:smartTag w:uri="urn:schemas-microsoft-com:office:smarttags" w:element="chsdate">
              <w:smartTagPr>
                <w:attr w:name="Year" w:val="2018"/>
                <w:attr w:name="Month" w:val="6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cs="仿宋_GB2312" w:hint="eastAsia"/>
                  <w:color w:val="000000"/>
                  <w:sz w:val="28"/>
                  <w:szCs w:val="28"/>
                </w:rPr>
                <w:t>2018年6月14日</w:t>
              </w:r>
            </w:smartTag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印发</w:t>
            </w:r>
          </w:p>
        </w:tc>
      </w:tr>
    </w:tbl>
    <w:p>
      <w:pPr>
        <w:spacing w:line="240" w:lineRule="exact"/>
        <w:jc w:val="left"/>
        <w:rPr>
          <w:rFonts w:ascii="仿宋_GB2312" w:eastAsia="仿宋_GB2312" w:cs="仿宋_GB2312"/>
          <w:color w:val="000000"/>
          <w:szCs w:val="21"/>
        </w:rPr>
      </w:pPr>
    </w:p>
    <w:sectPr>
      <w:pgSz w:w="11906" w:h="16838" w:code="9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318499528"/>
      <w:docPartObj>
        <w:docPartGallery w:val="Page Numbers (Bottom of Page)"/>
        <w:docPartUnique/>
      </w:docPartObj>
    </w:sdtPr>
    <w:sdtContent>
      <w:p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3651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1"/>
      <w:szCs w:val="21"/>
      <w:u w:val="none"/>
    </w:r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styleId="a9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1"/>
      <w:szCs w:val="21"/>
      <w:u w:val="none"/>
    </w:r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styleId="a9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tswqsn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6922</Words>
  <Characters>718</Characters>
  <Application>Microsoft Office Word</Application>
  <DocSecurity>0</DocSecurity>
  <Lines>5</Lines>
  <Paragraphs>15</Paragraphs>
  <ScaleCrop>false</ScaleCrop>
  <Company>Lenovo</Company>
  <LinksUpToDate>false</LinksUpToDate>
  <CharactersWithSpaces>7625</CharactersWithSpaces>
  <SharedDoc>false</SharedDoc>
  <HLinks>
    <vt:vector size="6" baseType="variant"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mailto:jxtswqsnb@163.com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嘉兴共青团“雨露青禾”主题行动（2018-2021）助力嘉禾大地乡村振兴</dc:title>
  <dc:creator>User</dc:creator>
  <cp:lastModifiedBy>Fighter</cp:lastModifiedBy>
  <cp:revision>2</cp:revision>
  <cp:lastPrinted>2018-06-13T08:05:00Z</cp:lastPrinted>
  <dcterms:created xsi:type="dcterms:W3CDTF">2018-06-15T02:26:00Z</dcterms:created>
  <dcterms:modified xsi:type="dcterms:W3CDTF">2018-06-15T02:26:00Z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